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ˎ̥" w:hAnsi="ˎ̥" w:cs="宋体"/>
          <w:b/>
          <w:kern w:val="0"/>
          <w:sz w:val="18"/>
          <w:szCs w:val="18"/>
        </w:rPr>
      </w:pPr>
    </w:p>
    <w:tbl>
      <w:tblPr>
        <w:tblStyle w:val="4"/>
        <w:tblpPr w:leftFromText="180" w:rightFromText="180" w:vertAnchor="text" w:tblpY="1"/>
        <w:tblOverlap w:val="never"/>
        <w:tblW w:w="9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58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132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i1036" o:spt="75" alt="JREX106 无键盘" type="#_x0000_t75" style="height:195.75pt;width:195.75pt;" filled="f" o:preferrelative="t" stroked="f" coordsize="21600,21600">
                  <v:path/>
                  <v:fill on="f" focussize="0,0"/>
                  <v:stroke on="f"/>
                  <v:imagedata r:id="rId6" o:title="JREX106 无键盘"/>
                  <o:lock v:ext="edit" aspectratio="t"/>
                  <w10:wrap type="none"/>
                  <w10:anchorlock/>
                </v:shape>
              </w:pic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jc w:val="both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Overview: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The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JREX106-SIP are designed to provide safe,reliable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communication in hazardous areas.the telephones sets were developed for operation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in the petrochemical industrial,usually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used in production,transportation and refining of oil,natural gas,coal and etc.The housing is made of impact and shock-resistant GRP and even resistant to acids, alkali and lubricants. Its robust design represents a perfect“packaging” for the latest requirements for VoIP telephones combined with proven reliability for critical mission communications and high safety applications. It is designed to provide ultimate user comfort on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the basis of industrial standards and decades of market leading expertise and know-how.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bookmarkStart w:id="2" w:name="_GoBack"/>
            <w:bookmarkEnd w:id="2"/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</w:p>
          <w:p>
            <w:pPr>
              <w:jc w:val="both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II 2G Ex e ib [ib] mb IIC T4 Gb</w:t>
            </w:r>
          </w:p>
          <w:p>
            <w:pPr>
              <w:jc w:val="both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II 2D Ex ib [ib] tb IIIC T135 °Db</w:t>
            </w:r>
          </w:p>
          <w:p>
            <w:pPr>
              <w:jc w:val="both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-40 °C ≤ Ta ≤ +60 °C/+40°C</w:t>
            </w:r>
          </w:p>
          <w:p>
            <w:pPr>
              <w:jc w:val="both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Zone 1,2,22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>
            <w:pPr>
              <w:jc w:val="both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FEATURES and BENEFITS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•PoE 802.3af enabled (Power-over-Ethernet) or alternate power source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•Compatible with most SIP-based IP-PBX servers that comply with SIP RFC 3261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•High impact thermoset resin industrial housing and ergonomic heavy duty handset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IP-66 compliant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 Network web management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en-US"/>
              </w:rPr>
              <w:t>Fully configurable through any internet browser or the on-board display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en-US"/>
              </w:rPr>
              <w:t>Static IP address provisioning or DHCP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Product self diagnostic testing available through web interface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•Network adjustable earpiece volume and microphone sensitivity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• Network downloadable firmware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•Remote programming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allows you to manage your network from a central location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 Corrosion resistant hardware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• Noise canceling microphone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• Magnetic reed hook switch to reduce parts subject to wear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 Direct dial to an assigned location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 Programmable auto hang-up timer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 Hearing-aid compatible (HAC) receiver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 Available with v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andal resistant armored handset cord 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or h</w:t>
            </w: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eavy duty curly handset cord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 xml:space="preserve">• Two M20 gland entries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70" w:lineRule="atLeast"/>
              <w:ind w:leftChars="0" w:right="0" w:rightChars="0"/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</w:rPr>
              <w:t>• Field repairable by authorized personnel</w:t>
            </w:r>
          </w:p>
          <w:p>
            <w:pPr>
              <w:jc w:val="both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APPLICATIONS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• Refineries                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• Sewage Plants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• Power Generation Facilities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• Drilling Rigs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• Pulp and Paper Mills      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• Hydroelectric Facilities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• Food Processing Plants    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• Warehouses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• Chemical Plants           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• Mines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 xml:space="preserve">• Material Sites            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• Greenhouses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  <w:t>• Cement Plants and more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132" w:type="dxa"/>
            <w:shd w:val="clear" w:color="auto" w:fill="auto"/>
          </w:tcPr>
          <w:p>
            <w:pPr>
              <w:jc w:val="right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right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right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right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OVERALL DIMENSIONS</w:t>
            </w:r>
          </w:p>
        </w:tc>
        <w:tc>
          <w:tcPr>
            <w:tcW w:w="5808" w:type="dxa"/>
            <w:shd w:val="clear" w:color="auto" w:fill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132" w:type="dxa"/>
            <w:shd w:val="clear" w:color="auto" w:fill="auto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eastAsia="zh-CN"/>
              </w:rPr>
              <w:pict>
                <v:shape id="_x0000_i1027" o:spt="75" alt="11" type="#_x0000_t75" style="height:120.4pt;width:143.05pt;" filled="f" o:preferrelative="t" stroked="f" coordsize="21600,21600">
                  <v:path/>
                  <v:fill on="f" focussize="0,0"/>
                  <v:stroke on="f"/>
                  <v:imagedata r:id="rId7" o:title="1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5808" w:type="dxa"/>
            <w:shd w:val="clear" w:color="auto" w:fill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eastAsia="zh-CN"/>
              </w:rPr>
              <w:pict>
                <v:shape id="_x0000_i1028" o:spt="75" alt="44" type="#_x0000_t75" style="height:172.2pt;width:279.3pt;" filled="f" o:preferrelative="t" stroked="f" coordsize="21600,21600">
                  <v:path/>
                  <v:fill on="f" focussize="0,0"/>
                  <v:stroke on="f"/>
                  <v:imagedata r:id="rId8" o:title="44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132" w:type="dxa"/>
            <w:shd w:val="clear" w:color="auto" w:fill="auto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i1029" o:spt="75" alt="22" type="#_x0000_t75" style="height:64pt;width:195.65pt;" filled="f" o:preferrelative="t" stroked="f" coordsize="21600,21600">
                  <v:path/>
                  <v:fill on="f" focussize="0,0"/>
                  <v:stroke on="f"/>
                  <v:imagedata r:id="rId9" o:title="22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5808" w:type="dxa"/>
            <w:shd w:val="clear" w:color="auto" w:fill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eastAsia="zh-CN"/>
              </w:rPr>
              <w:pict>
                <v:shape id="_x0000_i1030" o:spt="75" alt="33" type="#_x0000_t75" style="height:125.2pt;width:279.25pt;" filled="f" o:preferrelative="t" stroked="f" coordsize="21600,21600">
                  <v:path/>
                  <v:fill on="f" focussize="0,0"/>
                  <v:stroke on="f"/>
                  <v:imagedata r:id="rId10" o:title="33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rPr>
          <w:rFonts w:hint="eastAsia" w:eastAsia="宋体"/>
          <w:vanish/>
          <w:lang w:eastAsia="zh-CN"/>
        </w:rPr>
      </w:pPr>
    </w:p>
    <w:p>
      <w:pPr>
        <w:rPr>
          <w:rFonts w:hint="eastAsia" w:eastAsia="宋体"/>
          <w:vanish/>
          <w:lang w:eastAsia="zh-CN"/>
        </w:rPr>
      </w:pPr>
    </w:p>
    <w:p>
      <w:pPr>
        <w:rPr>
          <w:rFonts w:hint="eastAsia" w:eastAsia="宋体"/>
          <w:vanish/>
          <w:lang w:eastAsia="zh-CN"/>
        </w:rPr>
      </w:pPr>
      <w:r>
        <w:rPr>
          <w:rFonts w:hint="eastAsia" w:eastAsia="宋体"/>
          <w:vanish/>
          <w:lang w:eastAsia="zh-CN"/>
        </w:rPr>
        <w:pict>
          <v:shape id="_x0000_i1031" o:spt="75" alt="11" type="#_x0000_t75" style="height:339pt;width:402.75pt;" filled="f" o:preferrelative="t" stroked="f" coordsize="21600,21600">
            <v:path/>
            <v:fill on="f" focussize="0,0"/>
            <v:stroke on="f"/>
            <v:imagedata r:id="rId7" o:title="11"/>
            <o:lock v:ext="edit" aspectratio="t"/>
            <w10:wrap type="none"/>
            <w10:anchorlock/>
          </v:shape>
        </w:pict>
      </w:r>
    </w:p>
    <w:tbl>
      <w:tblPr>
        <w:tblStyle w:val="4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1"/>
        <w:gridCol w:w="60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4" w:hRule="atLeast"/>
        </w:trPr>
        <w:tc>
          <w:tcPr>
            <w:tcW w:w="4451" w:type="dxa"/>
            <w:shd w:val="clear" w:color="auto" w:fill="auto"/>
          </w:tcPr>
          <w:p>
            <w:pPr>
              <w:jc w:val="left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ENGINEERING SPECIFICATION:</w:t>
            </w:r>
          </w:p>
          <w:p>
            <w:pPr>
              <w:jc w:val="left"/>
              <w:rPr>
                <w:rFonts w:hint="default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Electrical Performance:</w:t>
            </w:r>
          </w:p>
          <w:p>
            <w:pPr>
              <w:spacing w:line="190" w:lineRule="exact"/>
              <w:rPr>
                <w:rFonts w:ascii="HCDHUA+MyriadPro-Cond" w:hAnsi="Calibri"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3"/>
                <w:sz w:val="16"/>
                <w:szCs w:val="22"/>
                <w:lang w:val="en-US" w:eastAsia="en-US" w:bidi="ar-SA"/>
              </w:rPr>
              <w:t>Network</w:t>
            </w:r>
            <w:r>
              <w:rPr>
                <w:rFonts w:hint="eastAsia" w:ascii="HCDHUA+MyriadPro-Cond"/>
                <w:color w:val="221E1F"/>
                <w:spacing w:val="3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Rate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10/100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Mbps</w:t>
            </w:r>
          </w:p>
          <w:p>
            <w:pPr>
              <w:spacing w:line="180" w:lineRule="exact"/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Protocol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 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SIP</w:t>
            </w:r>
            <w:r>
              <w:rPr>
                <w:rFonts w:ascii="HCDHUA+MyriadPro-Cond" w:hAnsi="Calibri"/>
                <w:color w:val="221E1F"/>
                <w:spacing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(RFC</w:t>
            </w:r>
            <w:r>
              <w:rPr>
                <w:rFonts w:ascii="HCDHUA+MyriadPro-Cond" w:hAnsi="Calibri"/>
                <w:color w:val="221E1F"/>
                <w:spacing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>3261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 xml:space="preserve"> Compliant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>)</w:t>
            </w:r>
          </w:p>
          <w:p>
            <w:pPr>
              <w:spacing w:line="190" w:lineRule="exact"/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</w:pPr>
            <w:r>
              <w:rPr>
                <w:rFonts w:ascii="HCDHUA+MyriadPro-Cond" w:hAnsi="Calibri"/>
                <w:color w:val="221E1F"/>
                <w:spacing w:val="3"/>
                <w:sz w:val="16"/>
                <w:szCs w:val="22"/>
                <w:lang w:val="en-US" w:eastAsia="en-US" w:bidi="ar-SA"/>
              </w:rPr>
              <w:t xml:space="preserve">Codec </w:t>
            </w:r>
            <w:r>
              <w:rPr>
                <w:rFonts w:hint="eastAsia" w:ascii="HCDHUA+MyriadPro-Cond"/>
                <w:color w:val="221E1F"/>
                <w:spacing w:val="3"/>
                <w:sz w:val="16"/>
                <w:szCs w:val="22"/>
                <w:lang w:val="en-US" w:eastAsia="zh-CN" w:bidi="ar-SA"/>
              </w:rPr>
              <w:t xml:space="preserve">         </w:t>
            </w:r>
            <w:r>
              <w:rPr>
                <w:rFonts w:ascii="HCDHUA+MyriadPro-Cond" w:hAnsi="Calibri"/>
                <w:color w:val="221E1F"/>
                <w:spacing w:val="3"/>
                <w:sz w:val="16"/>
                <w:szCs w:val="22"/>
                <w:lang w:val="en-US" w:eastAsia="en-US" w:bidi="ar-SA"/>
              </w:rPr>
              <w:t>G.711A/u,G.7231 high/low,G.729,G.722</w:t>
            </w:r>
          </w:p>
          <w:p>
            <w:pPr>
              <w:spacing w:line="19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Power</w:t>
            </w:r>
            <w:r>
              <w:rPr>
                <w:rFonts w:ascii="HCDHUA+MyriadPro-Cond" w:hAnsi="Calibri"/>
                <w:color w:val="221E1F"/>
                <w:spacing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Requirements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 xml:space="preserve">Power over Ethernet according to IEEE 802.3af over spare cable pair or external supply, 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12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V DC</w:t>
            </w:r>
          </w:p>
          <w:p>
            <w:pPr>
              <w:spacing w:line="19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Power consumption PoE (class0)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：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2.5 W</w:t>
            </w:r>
          </w:p>
          <w:p>
            <w:pPr>
              <w:spacing w:line="19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Connection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Direct connection to LAN or WAN via RJ45 connector</w:t>
            </w:r>
          </w:p>
          <w:p>
            <w:pPr>
              <w:spacing w:line="19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M.T.B.F.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I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n excess of 50,000 hours using</w:t>
            </w:r>
          </w:p>
          <w:p>
            <w:pPr>
              <w:spacing w:line="19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 xml:space="preserve">Lightning /Transients Protection to ITU-T k.21 enhanced levels </w:t>
            </w:r>
          </w:p>
          <w:p>
            <w:pPr>
              <w:spacing w:line="19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</w:p>
          <w:p>
            <w:pPr>
              <w:spacing w:line="190" w:lineRule="exact"/>
              <w:rPr>
                <w:rFonts w:ascii="HCDHUA+MyriadPro-Cond" w:hAnsi="Calibri"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</w:t>
            </w:r>
          </w:p>
          <w:p>
            <w:pPr>
              <w:spacing w:line="190" w:lineRule="exact"/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</w:pPr>
          </w:p>
          <w:p>
            <w:pPr>
              <w:jc w:val="left"/>
              <w:rPr>
                <w:rFonts w:hint="default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Mechanical Specifications</w:t>
            </w:r>
          </w:p>
          <w:p>
            <w:pPr>
              <w:spacing w:line="190" w:lineRule="exact"/>
              <w:rPr>
                <w:rFonts w:ascii="HCDHUA+MyriadPro-Cond" w:hAnsi="Calibri"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Hook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Switch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(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Cradle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Switch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)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Life</w:t>
            </w:r>
            <w:r>
              <w:rPr>
                <w:rFonts w:ascii="HCDHUA+MyriadPro-Cond" w:hAnsi="Calibri"/>
                <w:color w:val="221E1F"/>
                <w:spacing w:val="-12"/>
                <w:sz w:val="16"/>
                <w:szCs w:val="22"/>
                <w:lang w:val="en-US" w:eastAsia="en-US" w:bidi="ar-SA"/>
              </w:rPr>
              <w:t>&gt;1</w:t>
            </w:r>
            <w:r>
              <w:rPr>
                <w:rFonts w:ascii="HCDHUA+MyriadPro-Cond" w:hAnsi="Calibri"/>
                <w:color w:val="221E1F"/>
                <w:spacing w:val="1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4"/>
                <w:sz w:val="16"/>
                <w:szCs w:val="22"/>
                <w:lang w:val="en-US" w:eastAsia="en-US" w:bidi="ar-SA"/>
              </w:rPr>
              <w:t>000</w:t>
            </w:r>
            <w:r>
              <w:rPr>
                <w:rFonts w:ascii="HCDHUA+MyriadPro-Cond" w:hAnsi="Calibri"/>
                <w:color w:val="221E1F"/>
                <w:spacing w:val="-4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4"/>
                <w:sz w:val="16"/>
                <w:szCs w:val="22"/>
                <w:lang w:val="en-US" w:eastAsia="en-US" w:bidi="ar-SA"/>
              </w:rPr>
              <w:t>000</w:t>
            </w:r>
            <w:r>
              <w:rPr>
                <w:rFonts w:ascii="HCDHUA+MyriadPro-Cond" w:hAnsi="Calibri"/>
                <w:color w:val="221E1F"/>
                <w:spacing w:val="-4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Operations</w:t>
            </w:r>
          </w:p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Housing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Material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High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3"/>
                <w:sz w:val="16"/>
                <w:szCs w:val="22"/>
                <w:lang w:val="en-US" w:eastAsia="en-US" w:bidi="ar-SA"/>
              </w:rPr>
              <w:t>Impact</w:t>
            </w:r>
            <w:r>
              <w:rPr>
                <w:rFonts w:hint="eastAsia" w:ascii="HCDHUA+MyriadPro-Cond"/>
                <w:color w:val="221E1F"/>
                <w:spacing w:val="3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Glass fibre-reinforced polyester</w:t>
            </w:r>
          </w:p>
          <w:p>
            <w:pPr>
              <w:spacing w:line="180" w:lineRule="exact"/>
              <w:rPr>
                <w:rFonts w:ascii="HCDHUA+MyriadPro-Cond" w:hAnsi="Calibri"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Handset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Material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High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3"/>
                <w:sz w:val="16"/>
                <w:szCs w:val="22"/>
                <w:lang w:val="en-US" w:eastAsia="en-US" w:bidi="ar-SA"/>
              </w:rPr>
              <w:t>Impact</w:t>
            </w:r>
            <w:r>
              <w:rPr>
                <w:rFonts w:ascii="HCDHUA+MyriadPro-Cond" w:hAnsi="Calibri"/>
                <w:color w:val="221E1F"/>
                <w:spacing w:val="-3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Thermoset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Resin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Compound</w:t>
            </w:r>
          </w:p>
          <w:p>
            <w:pPr>
              <w:spacing w:line="180" w:lineRule="exact"/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Mounting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Desk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or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Wall</w:t>
            </w:r>
          </w:p>
          <w:p>
            <w:pPr>
              <w:spacing w:line="18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Ringing volume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: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9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5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dB(A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>)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in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1m distance</w:t>
            </w:r>
          </w:p>
          <w:p>
            <w:pPr>
              <w:spacing w:line="180" w:lineRule="exact"/>
              <w:rPr>
                <w:rFonts w:hint="eastAsia" w:ascii="HCDHUA+MyriadPro-Cond" w:hAnsi="Calibri" w:cs="Times New Roman"/>
                <w:color w:val="221E1F"/>
                <w:spacing w:val="-2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Microphone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Noise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Canceling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hAnsi="Calibri" w:cs="Times New Roman"/>
                <w:color w:val="221E1F"/>
                <w:spacing w:val="-2"/>
                <w:sz w:val="16"/>
                <w:szCs w:val="22"/>
                <w:lang w:val="en-US" w:eastAsia="en-US" w:bidi="ar-SA"/>
              </w:rPr>
              <w:t>Electret microphone</w:t>
            </w:r>
            <w:r>
              <w:rPr>
                <w:rFonts w:hint="eastAsia" w:ascii="HCDHUA+MyriadPro-Cond" w:cs="Times New Roman"/>
                <w:color w:val="221E1F"/>
                <w:spacing w:val="-2"/>
                <w:sz w:val="16"/>
                <w:szCs w:val="22"/>
                <w:lang w:val="en-US" w:eastAsia="zh-CN" w:bidi="ar-SA"/>
              </w:rPr>
              <w:t xml:space="preserve">                     </w:t>
            </w:r>
          </w:p>
          <w:p>
            <w:pPr>
              <w:spacing w:line="180" w:lineRule="exact"/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Receiver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Hearing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Aid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Compatible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(HAC)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</w:p>
          <w:p>
            <w:pP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Wiring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Access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:         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2x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M20</w:t>
            </w:r>
            <w:r>
              <w:rPr>
                <w:rFonts w:ascii="HCDHUA+MyriadPro-Cond" w:hAnsi="Calibri"/>
                <w:color w:val="221E1F"/>
                <w:spacing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Cable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Gland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3"/>
                <w:sz w:val="16"/>
                <w:szCs w:val="22"/>
                <w:lang w:val="en-US" w:eastAsia="en-US" w:bidi="ar-SA"/>
              </w:rPr>
              <w:t>Entry</w:t>
            </w:r>
            <w:r>
              <w:rPr>
                <w:rFonts w:ascii="HCDHUA+MyriadPro-Cond" w:hAnsi="Calibri"/>
                <w:color w:val="221E1F"/>
                <w:spacing w:val="-3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Points</w:t>
            </w:r>
          </w:p>
          <w:p>
            <w:pPr>
              <w:spacing w:line="180" w:lineRule="exact"/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Net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Weight</w:t>
            </w:r>
            <w:r>
              <w:rPr>
                <w:rFonts w:hint="eastAsia" w:ascii="HCDHUA+MyriadPro-Cond" w:hAnsi="Calibri" w:eastAsia="宋体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                6.5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kg</w:t>
            </w:r>
          </w:p>
          <w:p>
            <w:pPr>
              <w:spacing w:line="180" w:lineRule="exact"/>
              <w:rPr>
                <w:rFonts w:hint="default" w:ascii="HCDHUA+MyriadPro-Cond" w:hAnsi="Calibri" w:eastAsia="宋体"/>
                <w:color w:val="221E1F"/>
                <w:spacing w:val="1"/>
                <w:sz w:val="16"/>
                <w:szCs w:val="22"/>
                <w:lang w:val="en-US" w:eastAsia="zh-CN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Shipping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Weight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                                7.5kg</w:t>
            </w:r>
          </w:p>
          <w:p>
            <w:pPr>
              <w:spacing w:line="180" w:lineRule="exact"/>
              <w:rPr>
                <w:rFonts w:hint="eastAsia" w:ascii="HCDHUA+MyriadPro-Cond" w:hAnsi="Calibri" w:eastAsia="宋体"/>
                <w:color w:val="221E1F"/>
                <w:spacing w:val="1"/>
                <w:sz w:val="16"/>
                <w:szCs w:val="22"/>
                <w:lang w:val="en-US" w:eastAsia="zh-CN" w:bidi="ar-SA"/>
              </w:rPr>
            </w:pP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>U</w:t>
            </w:r>
            <w:r>
              <w:rPr>
                <w:rFonts w:hint="eastAsia"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 xml:space="preserve">nit 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Dimensions        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(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L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 x W x D)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302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x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240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x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129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>(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mm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)</w:t>
            </w:r>
          </w:p>
          <w:p>
            <w:pPr>
              <w:spacing w:line="190" w:lineRule="exact"/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Shipping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Dimensions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HCDHUA+MyriadPro-Cond"/>
                <w:color w:val="221E1F"/>
                <w:spacing w:val="-2"/>
                <w:sz w:val="16"/>
                <w:szCs w:val="22"/>
                <w:lang w:val="en-US" w:eastAsia="zh-CN" w:bidi="ar-SA"/>
              </w:rPr>
              <w:t xml:space="preserve">   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(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L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 x W x D)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405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x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280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x</w:t>
            </w:r>
            <w:r>
              <w:rPr>
                <w:rFonts w:hint="eastAsia" w:ascii="HCDHUA+MyriadPro-Cond"/>
                <w:color w:val="221E1F"/>
                <w:sz w:val="16"/>
                <w:szCs w:val="22"/>
                <w:lang w:val="en-US" w:eastAsia="zh-CN" w:bidi="ar-SA"/>
              </w:rPr>
              <w:t>170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>(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mm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>)</w:t>
            </w:r>
          </w:p>
          <w:p>
            <w:pPr>
              <w:spacing w:line="180" w:lineRule="exact"/>
              <w:rPr>
                <w:rFonts w:hint="eastAsia"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Packaging materials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                </w:t>
            </w:r>
            <w:r>
              <w:rPr>
                <w:rFonts w:hint="eastAsia"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pearl cotton,carton</w:t>
            </w:r>
          </w:p>
          <w:p>
            <w:pPr>
              <w:spacing w:line="180" w:lineRule="exact"/>
              <w:rPr>
                <w:rFonts w:ascii="Arial" w:hAnsi="Arial" w:cs="Arial"/>
              </w:rPr>
            </w:pPr>
          </w:p>
        </w:tc>
        <w:tc>
          <w:tcPr>
            <w:tcW w:w="6049" w:type="dxa"/>
            <w:shd w:val="clear" w:color="auto" w:fill="auto"/>
          </w:tcPr>
          <w:p>
            <w:pPr>
              <w:jc w:val="left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 xml:space="preserve">Environmental Conditions </w:t>
            </w:r>
          </w:p>
          <w:p>
            <w:pPr>
              <w:spacing w:line="190" w:lineRule="exact"/>
              <w:rPr>
                <w:rFonts w:ascii="HCDHUA+MyriadPro-Cond" w:hAnsi="Calibri"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Corrosion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Resistant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&amp;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Dustproof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     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Full</w:t>
            </w:r>
            <w:r>
              <w:rPr>
                <w:rFonts w:ascii="HCDHUA+MyriadPro-Cond" w:hAnsi="Calibri"/>
                <w:color w:val="221E1F"/>
                <w:spacing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Gasket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Faceplate</w:t>
            </w:r>
          </w:p>
          <w:p>
            <w:pPr>
              <w:spacing w:line="180" w:lineRule="exact"/>
              <w:rPr>
                <w:rFonts w:ascii="HCDHUA+MyriadPro-Cond" w:hAnsi="Calibri"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Operating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Temperature</w:t>
            </w:r>
            <w:r>
              <w:rPr>
                <w:rFonts w:hint="eastAsia" w:ascii="HCDHUA+MyriadPro-Cond" w:hAnsi="Calibri" w:eastAsia="宋体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/>
                <w:color w:val="221E1F"/>
                <w:spacing w:val="1"/>
                <w:sz w:val="16"/>
                <w:szCs w:val="22"/>
                <w:lang w:val="en-US" w:eastAsia="zh-CN" w:bidi="ar-SA"/>
              </w:rPr>
              <w:t xml:space="preserve">                                     </w:t>
            </w:r>
            <w:r>
              <w:rPr>
                <w:rFonts w:ascii="HCDHUA+MyriadPro-Cond" w:hAnsi="HCDHUA+MyriadPro-Cond" w:cs="HCDHUA+MyriadPro-Cond"/>
                <w:color w:val="221E1F"/>
                <w:spacing w:val="-1"/>
                <w:sz w:val="16"/>
                <w:szCs w:val="22"/>
                <w:lang w:val="en-US" w:eastAsia="en-US" w:bidi="ar-SA"/>
              </w:rPr>
              <w:t>-</w:t>
            </w:r>
            <w:r>
              <w:rPr>
                <w:rFonts w:hint="eastAsia" w:ascii="HCDHUA+MyriadPro-Cond" w:hAnsi="HCDHUA+MyriadPro-Cond" w:cs="HCDHUA+MyriadPro-Cond"/>
                <w:color w:val="221E1F"/>
                <w:spacing w:val="-1"/>
                <w:sz w:val="16"/>
                <w:szCs w:val="22"/>
                <w:lang w:val="en-US" w:eastAsia="zh-CN" w:bidi="ar-SA"/>
              </w:rPr>
              <w:t>45</w:t>
            </w:r>
            <w:r>
              <w:rPr>
                <w:rFonts w:ascii="HCDHUA+MyriadPro-Cond" w:hAnsi="HCDHUA+MyriadPro-Cond" w:cs="HCDHUA+MyriadPro-Cond"/>
                <w:color w:val="221E1F"/>
                <w:spacing w:val="-1"/>
                <w:sz w:val="16"/>
                <w:szCs w:val="22"/>
                <w:lang w:val="en-US" w:eastAsia="en-US" w:bidi="ar-SA"/>
              </w:rPr>
              <w:t>˚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 xml:space="preserve"> to</w:t>
            </w:r>
            <w:r>
              <w:rPr>
                <w:rFonts w:ascii="HCDHUA+MyriadPro-Cond" w:hAnsi="Calibri"/>
                <w:color w:val="221E1F"/>
                <w:spacing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HCDHUA+MyriadPro-Cond" w:cs="HCDHUA+MyriadPro-Cond"/>
                <w:color w:val="221E1F"/>
                <w:sz w:val="16"/>
                <w:szCs w:val="22"/>
                <w:lang w:val="en-US" w:eastAsia="en-US" w:bidi="ar-SA"/>
              </w:rPr>
              <w:t>+</w:t>
            </w:r>
            <w:r>
              <w:rPr>
                <w:rFonts w:hint="eastAsia" w:ascii="HCDHUA+MyriadPro-Cond" w:hAnsi="HCDHUA+MyriadPro-Cond" w:cs="HCDHUA+MyriadPro-Cond"/>
                <w:color w:val="221E1F"/>
                <w:sz w:val="16"/>
                <w:szCs w:val="22"/>
                <w:lang w:val="en-US" w:eastAsia="zh-CN" w:bidi="ar-SA"/>
              </w:rPr>
              <w:t>7</w:t>
            </w:r>
            <w:r>
              <w:rPr>
                <w:rFonts w:ascii="HCDHUA+MyriadPro-Cond" w:hAnsi="HCDHUA+MyriadPro-Cond" w:cs="HCDHUA+MyriadPro-Cond"/>
                <w:color w:val="221E1F"/>
                <w:sz w:val="16"/>
                <w:szCs w:val="22"/>
                <w:lang w:val="en-US" w:eastAsia="en-US" w:bidi="ar-SA"/>
              </w:rPr>
              <w:t>0˚C</w:t>
            </w:r>
          </w:p>
          <w:p>
            <w:pPr>
              <w:spacing w:line="180" w:lineRule="exact"/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Ingress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Protection</w:t>
            </w:r>
            <w:r>
              <w:rPr>
                <w:rFonts w:ascii="HCDHUA+MyriadPro-Cond" w:hAnsi="Calibri"/>
                <w:color w:val="221E1F"/>
                <w:spacing w:val="-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Rating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  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IP66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according to EN60529</w:t>
            </w:r>
          </w:p>
          <w:p>
            <w:pP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Impact protection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HCDHUA+MyriadPro-Cond" w:cs="Times New Roman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HCDHUA+MyriadPro-Cond" w:hAnsi="Calibri" w:cs="Times New Roman"/>
                <w:color w:val="221E1F"/>
                <w:spacing w:val="2"/>
                <w:sz w:val="16"/>
                <w:szCs w:val="22"/>
                <w:lang w:val="en-US" w:eastAsia="en-US" w:bidi="ar-SA"/>
              </w:rPr>
              <w:t>IK09 according to EN50102</w:t>
            </w:r>
          </w:p>
          <w:p>
            <w:pPr>
              <w:spacing w:line="180" w:lineRule="exact"/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</w:pP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Humidity</w:t>
            </w:r>
            <w:r>
              <w:rPr>
                <w:rFonts w:hint="eastAsia" w:ascii="HCDHUA+MyriadPro-Cond" w:hAnsi="Calibri" w:eastAsia="宋体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</w:t>
            </w:r>
            <w:r>
              <w:rPr>
                <w:rFonts w:hint="eastAsia" w:ascii="HCDHUA+MyriadPro-Cond"/>
                <w:color w:val="221E1F"/>
                <w:spacing w:val="2"/>
                <w:sz w:val="16"/>
                <w:szCs w:val="22"/>
                <w:lang w:val="en-US" w:eastAsia="zh-CN" w:bidi="ar-SA"/>
              </w:rPr>
              <w:t xml:space="preserve">                                        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0 </w:t>
            </w:r>
            <w:r>
              <w:rPr>
                <w:rFonts w:ascii="HCDHUA+MyriadPro-Cond" w:hAnsi="Calibri"/>
                <w:color w:val="221E1F"/>
                <w:spacing w:val="1"/>
                <w:sz w:val="16"/>
                <w:szCs w:val="22"/>
                <w:lang w:val="en-US" w:eastAsia="en-US" w:bidi="ar-SA"/>
              </w:rPr>
              <w:t>to</w:t>
            </w:r>
            <w:r>
              <w:rPr>
                <w:rFonts w:ascii="HCDHUA+MyriadPro-Cond" w:hAnsi="Calibri"/>
                <w:color w:val="221E1F"/>
                <w:spacing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HCDHUA+MyriadPro-Cond" w:hAnsi="Calibri"/>
                <w:color w:val="221E1F"/>
                <w:sz w:val="16"/>
                <w:szCs w:val="22"/>
                <w:lang w:val="en-US" w:eastAsia="en-US" w:bidi="ar-SA"/>
              </w:rPr>
              <w:t xml:space="preserve">95% </w:t>
            </w:r>
            <w:r>
              <w:rPr>
                <w:rFonts w:ascii="HCDHUA+MyriadPro-Cond" w:hAnsi="Calibri"/>
                <w:color w:val="221E1F"/>
                <w:spacing w:val="2"/>
                <w:sz w:val="16"/>
                <w:szCs w:val="22"/>
                <w:lang w:val="en-US" w:eastAsia="en-US" w:bidi="ar-SA"/>
              </w:rPr>
              <w:t>RH</w:t>
            </w:r>
          </w:p>
          <w:p>
            <w:pPr>
              <w:jc w:val="left"/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</w:pPr>
          </w:p>
          <w:p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color w:val="00B0F0"/>
                <w:lang w:val="en-US" w:eastAsia="zh-CN"/>
              </w:rPr>
              <w:t>Approval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hint="eastAsia" w:ascii="HCDHUA+MyriadPro-Cond" w:hAnsi="Calibri" w:cs="Times New Roman"/>
                <w:color w:val="0072BC"/>
                <w:spacing w:val="-1"/>
                <w:sz w:val="20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HCDHUA+MyriadPro-Cond" w:hAnsi="Calibri" w:cs="Times New Roman"/>
                <w:color w:val="0072BC"/>
                <w:spacing w:val="-1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                        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s1030" o:spid="_x0000_s1030" o:spt="75" type="#_x0000_t75" style="position:absolute;left:0pt;margin-left:0.05pt;margin-top:2.5pt;height:47.6pt;width:42.3pt;mso-wrap-distance-bottom:0pt;mso-wrap-distance-left:9pt;mso-wrap-distance-right:9pt;mso-wrap-distance-top:0pt;z-index:102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square"/>
                </v:shape>
              </w:pict>
            </w:r>
            <w:r>
              <w:rPr>
                <w:rFonts w:ascii="Arial" w:hAnsi="Arial" w:cs="Arial"/>
                <w:sz w:val="18"/>
                <w:szCs w:val="18"/>
              </w:rPr>
              <w:t xml:space="preserve">This mark indicates compliance with the: 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Radio &amp; Telecommunications Terminal Equipment Directive 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2004/108/EC 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OLE_LINK54"/>
            <w:bookmarkStart w:id="1" w:name="OLE_LINK53"/>
            <w:r>
              <w:rPr>
                <w:rFonts w:ascii="Arial" w:hAnsi="Arial" w:cs="Arial"/>
              </w:rPr>
              <w:pict>
                <v:shape id="图片 5" o:spid="_x0000_s1031" o:spt="75" type="#_x0000_t75" style="position:absolute;left:0pt;margin-left:-1.85pt;margin-top:3.55pt;height:33.95pt;width:44.85pt;mso-wrap-distance-bottom:0pt;mso-wrap-distance-left:9pt;mso-wrap-distance-right:9pt;mso-wrap-distance-top:0pt;z-index:102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square"/>
                </v:shape>
              </w:pic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mark indicates compliance with the: 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FCC Part 15 Subpart B Class B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pict>
                <v:shape id="_x0000_s1040" o:spid="_x0000_s1040" o:spt="75" type="#_x0000_t75" style="position:absolute;left:0pt;margin-left:-3.1pt;margin-top:10.9pt;height:47.25pt;width:47.25pt;mso-wrap-distance-bottom:0pt;mso-wrap-distance-left:9pt;mso-wrap-distance-right:9pt;mso-wrap-distance-top:0pt;z-index:102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3" o:title="QQ图片20170728120203"/>
                  <o:lock v:ext="edit" aspectratio="t"/>
                  <w10:wrap type="square"/>
                </v:shape>
              </w:pic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mark indicates compliance with the</w:t>
            </w:r>
            <w:r>
              <w:rPr>
                <w:rFonts w:hint="eastAsia" w:ascii="Arial" w:hAnsi="Arial" w:cs="Arial"/>
                <w:sz w:val="18"/>
                <w:szCs w:val="18"/>
              </w:rPr>
              <w:t>:</w:t>
            </w:r>
            <w:bookmarkEnd w:id="0"/>
            <w:bookmarkEnd w:id="1"/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2G Ex e ib mb IIC T4 Gb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2D Ex ib [ib] tb IIIC T135 °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Db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spacing w:before="93" w:line="237" w:lineRule="exact"/>
        <w:rPr>
          <w:rFonts w:hint="eastAsia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</w:pPr>
      <w:r>
        <w:rPr>
          <w:rFonts w:hint="eastAsia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t>ACCESSORIES:</w:t>
      </w:r>
    </w:p>
    <w:p>
      <w:pPr>
        <w:spacing w:before="93" w:line="237" w:lineRule="exact"/>
        <w:rPr>
          <w:rFonts w:hint="default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</w:pPr>
    </w:p>
    <w:p>
      <w:pPr>
        <w:widowControl/>
        <w:spacing w:before="100" w:beforeAutospacing="1" w:after="100" w:afterAutospacing="1"/>
        <w:jc w:val="left"/>
        <w:rPr>
          <w:rFonts w:hint="default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</w:pPr>
      <w:r>
        <w:rPr>
          <w:rFonts w:hint="eastAsia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t xml:space="preserve">    </w:t>
      </w:r>
      <w:r>
        <w:rPr>
          <w:rFonts w:hint="default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pict>
          <v:shape id="_x0000_i1032" o:spt="75" alt="999" type="#_x0000_t75" style="height:93.05pt;width:90.65pt;" filled="f" o:preferrelative="t" stroked="f" coordsize="21600,21600">
            <v:path/>
            <v:fill on="f" focussize="0,0"/>
            <v:stroke on="f"/>
            <v:imagedata r:id="rId14" o:title="999"/>
            <o:lock v:ext="edit" aspectratio="t"/>
            <w10:wrap type="none"/>
            <w10:anchorlock/>
          </v:shape>
        </w:pict>
      </w:r>
      <w:r>
        <w:rPr>
          <w:rFonts w:hint="eastAsia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t xml:space="preserve"> </w:t>
      </w:r>
      <w:r>
        <w:rPr>
          <w:rFonts w:hint="default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pict>
          <v:shape id="_x0000_i1033" o:spt="75" alt="77" type="#_x0000_t75" style="height:99pt;width:98.5pt;" filled="f" o:preferrelative="t" stroked="f" coordsize="21600,21600">
            <v:path/>
            <v:fill on="f" focussize="0,0"/>
            <v:stroke on="f"/>
            <v:imagedata r:id="rId15" o:title="77"/>
            <o:lock v:ext="edit" aspectratio="t"/>
            <w10:wrap type="none"/>
            <w10:anchorlock/>
          </v:shape>
        </w:pict>
      </w:r>
      <w:r>
        <w:rPr>
          <w:rFonts w:hint="eastAsia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t xml:space="preserve">  </w:t>
      </w:r>
      <w:r>
        <w:rPr>
          <w:rFonts w:hint="default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pict>
          <v:shape id="_x0000_i1034" o:spt="75" alt="88" type="#_x0000_t75" style="height:120.75pt;width:85.95pt;" filled="f" o:preferrelative="t" stroked="f" coordsize="21600,21600">
            <v:path/>
            <v:fill on="f" focussize="0,0"/>
            <v:stroke on="f"/>
            <v:imagedata r:id="rId16" o:title="88"/>
            <o:lock v:ext="edit" aspectratio="t"/>
            <w10:wrap type="none"/>
            <w10:anchorlock/>
          </v:shape>
        </w:pict>
      </w:r>
      <w:r>
        <w:rPr>
          <w:rFonts w:hint="eastAsia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t xml:space="preserve">   </w:t>
      </w:r>
      <w:r>
        <w:rPr>
          <w:rFonts w:hint="default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pict>
          <v:shape id="_x0000_i1035" o:spt="75" alt="粘贴图片(1)" type="#_x0000_t75" style="height:144.1pt;width:138.3pt;" filled="f" o:preferrelative="t" stroked="f" coordsize="21600,21600">
            <v:path/>
            <v:fill on="f" focussize="0,0"/>
            <v:stroke on="f"/>
            <v:imagedata r:id="rId17" o:title="粘贴图片(1)"/>
            <o:lock v:ext="edit" aspectratio="t"/>
            <w10:wrap type="none"/>
            <w10:anchorlock/>
          </v:shape>
        </w:pict>
      </w:r>
    </w:p>
    <w:p>
      <w:pPr>
        <w:widowControl/>
        <w:spacing w:before="100" w:beforeAutospacing="1" w:after="100" w:afterAutospacing="1"/>
        <w:jc w:val="left"/>
        <w:rPr>
          <w:rFonts w:hint="default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</w:pPr>
      <w:r>
        <w:rPr>
          <w:rFonts w:hint="default" w:ascii="Arial" w:hAnsi="Arial" w:cs="Arial"/>
          <w:b/>
          <w:bCs/>
          <w:sz w:val="15"/>
          <w:szCs w:val="15"/>
          <w:lang w:val="en-US" w:eastAsia="zh-CN"/>
        </w:rPr>
        <w:t>Explosion Proof Beacon</w:t>
      </w:r>
      <w:r>
        <w:rPr>
          <w:rFonts w:hint="eastAsia" w:ascii="Arial" w:hAnsi="Arial" w:cs="Arial"/>
          <w:b/>
          <w:bCs/>
          <w:sz w:val="15"/>
          <w:szCs w:val="15"/>
          <w:lang w:val="en-US" w:eastAsia="zh-CN"/>
        </w:rPr>
        <w:t xml:space="preserve"> JR-EB-01     </w:t>
      </w:r>
      <w:r>
        <w:rPr>
          <w:rFonts w:hint="default" w:ascii="Arial" w:hAnsi="Arial" w:cs="Arial"/>
          <w:b/>
          <w:bCs/>
          <w:sz w:val="15"/>
          <w:szCs w:val="15"/>
          <w:lang w:val="en-US" w:eastAsia="zh-CN"/>
        </w:rPr>
        <w:t xml:space="preserve">Explosion Proof </w:t>
      </w:r>
      <w:r>
        <w:rPr>
          <w:rFonts w:hint="eastAsia" w:ascii="Arial" w:hAnsi="Arial" w:cs="Arial"/>
          <w:b/>
          <w:bCs/>
          <w:sz w:val="15"/>
          <w:szCs w:val="15"/>
          <w:lang w:val="en-US" w:eastAsia="zh-CN"/>
        </w:rPr>
        <w:t xml:space="preserve">Horn JR-EH--01     </w:t>
      </w:r>
      <w:r>
        <w:rPr>
          <w:rFonts w:hint="default" w:ascii="Arial" w:hAnsi="Arial" w:cs="Arial"/>
          <w:b/>
          <w:bCs/>
          <w:sz w:val="15"/>
          <w:szCs w:val="15"/>
          <w:lang w:val="en-US" w:eastAsia="zh-CN"/>
        </w:rPr>
        <w:t>Explosion Proof</w:t>
      </w:r>
      <w:r>
        <w:rPr>
          <w:rFonts w:hint="eastAsia" w:ascii="Arial" w:hAnsi="Arial" w:cs="Arial"/>
          <w:b/>
          <w:bCs/>
          <w:sz w:val="15"/>
          <w:szCs w:val="15"/>
          <w:lang w:val="en-US" w:eastAsia="zh-CN"/>
        </w:rPr>
        <w:t xml:space="preserve"> Junction Box</w:t>
      </w:r>
      <w:r>
        <w:rPr>
          <w:rFonts w:hint="eastAsia" w:ascii="HCDHUA+MyriadPro-Cond" w:cs="Times New Roman"/>
          <w:b/>
          <w:bCs/>
          <w:color w:val="0072BC"/>
          <w:sz w:val="20"/>
          <w:szCs w:val="22"/>
          <w:lang w:val="en-US" w:eastAsia="zh-CN" w:bidi="ar-SA"/>
        </w:rPr>
        <w:t xml:space="preserve">    </w:t>
      </w:r>
      <w:r>
        <w:rPr>
          <w:rFonts w:hint="eastAsia" w:ascii="Arial" w:hAnsi="Arial" w:cs="Arial"/>
          <w:b/>
          <w:bCs/>
          <w:sz w:val="15"/>
          <w:szCs w:val="15"/>
          <w:lang w:val="en-US" w:eastAsia="zh-CN"/>
        </w:rPr>
        <w:t>Acoustic hood JR-TH-01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794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CDHUA+MyriadPro-Cond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rinda">
    <w:panose1 w:val="020B0502040204020203"/>
    <w:charset w:val="01"/>
    <w:family w:val="auto"/>
    <w:pitch w:val="default"/>
    <w:sig w:usb0="00010003" w:usb1="00000000" w:usb2="000000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/>
      <w:rPr>
        <w:rFonts w:ascii="Arial" w:hAnsi="Arial" w:cs="Arial"/>
        <w:b/>
        <w:bCs/>
        <w:sz w:val="36"/>
        <w:szCs w:val="36"/>
      </w:rPr>
    </w:pPr>
    <w:r>
      <w:pict>
        <v:shape id="图片 10" o:spid="_x0000_s2049" o:spt="75" type="#_x0000_t75" style="position:absolute;left:0pt;margin-left:0pt;margin-top:-39.2pt;height:840.65pt;width:594pt;mso-position-horizontal-relative:page;z-index:-1024;mso-width-relative:page;mso-height-relative:page;" filled="f" o:preferrelative="t" stroked="f" coordsize="21600,21600">
          <v:path/>
          <v:fill on="f" focussize="0,0"/>
          <v:stroke on="f" joinstyle="miter"/>
          <v:imagedata r:id="rId1" o:title="彩页背景"/>
          <o:lock v:ext="edit" aspectratio="t"/>
        </v:shape>
      </w:pict>
    </w:r>
    <w:r>
      <w:pict>
        <v:shape id="文本框 13" o:spid="_x0000_s2050" o:spt="202" type="#_x0000_t202" style="position:absolute;left:0pt;margin-left:348.4pt;margin-top:-0.6pt;height:39.8pt;width:187.4pt;z-index:10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>
            <w:txbxContent>
              <w:p>
                <w:pPr>
                  <w:rPr>
                    <w:rFonts w:hint="eastAsia" w:ascii="Arial" w:hAnsi="Arial" w:eastAsia="宋体" w:cs="Arial"/>
                    <w:b/>
                    <w:bCs/>
                    <w:szCs w:val="21"/>
                    <w:lang w:val="en-US" w:eastAsia="zh-CN"/>
                  </w:rPr>
                </w:pPr>
                <w:r>
                  <w:rPr>
                    <w:rFonts w:hint="eastAsia" w:ascii="Arial" w:hAnsi="Arial" w:cs="Arial"/>
                    <w:sz w:val="30"/>
                    <w:szCs w:val="30"/>
                  </w:rPr>
                  <w:t xml:space="preserve">     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JR</w:t>
                </w:r>
                <w:r>
                  <w:rPr>
                    <w:rFonts w:hint="eastAsia" w:ascii="Arial" w:hAnsi="Arial" w:cs="Arial"/>
                    <w:b/>
                    <w:bCs/>
                    <w:sz w:val="28"/>
                    <w:szCs w:val="28"/>
                  </w:rPr>
                  <w:t>EX10</w:t>
                </w:r>
                <w:r>
                  <w:rPr>
                    <w:rFonts w:hint="eastAsia" w:ascii="Arial" w:hAnsi="Arial" w:cs="Arial"/>
                    <w:b/>
                    <w:bCs/>
                    <w:sz w:val="28"/>
                    <w:szCs w:val="28"/>
                    <w:lang w:val="en-US" w:eastAsia="zh-CN"/>
                  </w:rPr>
                  <w:t>6</w:t>
                </w:r>
              </w:p>
              <w:p>
                <w:pPr>
                  <w:rPr>
                    <w:rFonts w:ascii="Arial" w:hAnsi="Arial" w:cs="Arial"/>
                    <w:b/>
                    <w:bCs/>
                    <w:szCs w:val="21"/>
                  </w:rPr>
                </w:pPr>
                <w:r>
                  <w:rPr>
                    <w:rFonts w:hint="eastAsia" w:ascii="Arial" w:hAnsi="Arial" w:cs="Arial"/>
                    <w:b/>
                    <w:bCs/>
                    <w:szCs w:val="21"/>
                  </w:rPr>
                  <w:t xml:space="preserve">Explosion-proof </w:t>
                </w:r>
                <w:r>
                  <w:rPr>
                    <w:rFonts w:hint="eastAsia" w:ascii="Arial" w:hAnsi="Arial" w:cs="Arial"/>
                    <w:b/>
                    <w:bCs/>
                    <w:szCs w:val="21"/>
                    <w:lang w:val="en-US" w:eastAsia="zh-CN"/>
                  </w:rPr>
                  <w:t xml:space="preserve">VoIP </w:t>
                </w:r>
                <w:r>
                  <w:rPr>
                    <w:rFonts w:hint="eastAsia" w:ascii="Arial" w:hAnsi="Arial" w:cs="Arial"/>
                    <w:b/>
                    <w:bCs/>
                    <w:szCs w:val="21"/>
                  </w:rPr>
                  <w:t xml:space="preserve">Telephone 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AD"/>
    <w:rsid w:val="00002E52"/>
    <w:rsid w:val="00037E9E"/>
    <w:rsid w:val="000749CF"/>
    <w:rsid w:val="000D0A8C"/>
    <w:rsid w:val="000E6020"/>
    <w:rsid w:val="00115694"/>
    <w:rsid w:val="00134A0C"/>
    <w:rsid w:val="00142FA0"/>
    <w:rsid w:val="001A232E"/>
    <w:rsid w:val="001E48FC"/>
    <w:rsid w:val="002012E5"/>
    <w:rsid w:val="00241967"/>
    <w:rsid w:val="002472CE"/>
    <w:rsid w:val="002E7012"/>
    <w:rsid w:val="00372427"/>
    <w:rsid w:val="003A5203"/>
    <w:rsid w:val="003E717D"/>
    <w:rsid w:val="003F7B29"/>
    <w:rsid w:val="0040014E"/>
    <w:rsid w:val="004C036A"/>
    <w:rsid w:val="004C75E1"/>
    <w:rsid w:val="004D7E5E"/>
    <w:rsid w:val="004F3F2C"/>
    <w:rsid w:val="0054740A"/>
    <w:rsid w:val="00576ABB"/>
    <w:rsid w:val="005878A4"/>
    <w:rsid w:val="005B53C0"/>
    <w:rsid w:val="006078E1"/>
    <w:rsid w:val="006542B1"/>
    <w:rsid w:val="00660FFE"/>
    <w:rsid w:val="00686B9C"/>
    <w:rsid w:val="006A0D5F"/>
    <w:rsid w:val="006C3231"/>
    <w:rsid w:val="006D2BD4"/>
    <w:rsid w:val="006D2CEA"/>
    <w:rsid w:val="006F5B86"/>
    <w:rsid w:val="007C351D"/>
    <w:rsid w:val="007C7955"/>
    <w:rsid w:val="007E5FC4"/>
    <w:rsid w:val="007F6E6A"/>
    <w:rsid w:val="00823F93"/>
    <w:rsid w:val="008B0C5A"/>
    <w:rsid w:val="008D7D6C"/>
    <w:rsid w:val="00907B33"/>
    <w:rsid w:val="009177DC"/>
    <w:rsid w:val="00930B0E"/>
    <w:rsid w:val="009332C2"/>
    <w:rsid w:val="009443B2"/>
    <w:rsid w:val="009814E1"/>
    <w:rsid w:val="009C6475"/>
    <w:rsid w:val="009D11DC"/>
    <w:rsid w:val="00A00A3D"/>
    <w:rsid w:val="00A27BD8"/>
    <w:rsid w:val="00A65624"/>
    <w:rsid w:val="00A76F4F"/>
    <w:rsid w:val="00AC6E9C"/>
    <w:rsid w:val="00AC743D"/>
    <w:rsid w:val="00AD1F73"/>
    <w:rsid w:val="00B01775"/>
    <w:rsid w:val="00B03AD8"/>
    <w:rsid w:val="00B662C9"/>
    <w:rsid w:val="00B76EC3"/>
    <w:rsid w:val="00BC5B6B"/>
    <w:rsid w:val="00C027A8"/>
    <w:rsid w:val="00C13368"/>
    <w:rsid w:val="00CA12D2"/>
    <w:rsid w:val="00D87DDD"/>
    <w:rsid w:val="00DB33D4"/>
    <w:rsid w:val="00DD1CF1"/>
    <w:rsid w:val="00E75D5C"/>
    <w:rsid w:val="00E870C0"/>
    <w:rsid w:val="00E94AAD"/>
    <w:rsid w:val="00EB6C9B"/>
    <w:rsid w:val="00EC0ABA"/>
    <w:rsid w:val="00EE3337"/>
    <w:rsid w:val="00EF6AA1"/>
    <w:rsid w:val="00F2208B"/>
    <w:rsid w:val="00F5290B"/>
    <w:rsid w:val="00F54474"/>
    <w:rsid w:val="00F57606"/>
    <w:rsid w:val="00FB469B"/>
    <w:rsid w:val="00FE2BCB"/>
    <w:rsid w:val="01DB7918"/>
    <w:rsid w:val="03D9195C"/>
    <w:rsid w:val="05081CD6"/>
    <w:rsid w:val="059A4DF2"/>
    <w:rsid w:val="07D613BD"/>
    <w:rsid w:val="092F1D85"/>
    <w:rsid w:val="0D7D4641"/>
    <w:rsid w:val="0E434659"/>
    <w:rsid w:val="0E4F4ABC"/>
    <w:rsid w:val="0F076E73"/>
    <w:rsid w:val="0F1420C6"/>
    <w:rsid w:val="0F332724"/>
    <w:rsid w:val="0F424437"/>
    <w:rsid w:val="0F803497"/>
    <w:rsid w:val="10075435"/>
    <w:rsid w:val="1178568C"/>
    <w:rsid w:val="13FF1FD4"/>
    <w:rsid w:val="15381C10"/>
    <w:rsid w:val="15FE5BFB"/>
    <w:rsid w:val="16D31C53"/>
    <w:rsid w:val="177764FF"/>
    <w:rsid w:val="179653DB"/>
    <w:rsid w:val="18585C17"/>
    <w:rsid w:val="18844E9E"/>
    <w:rsid w:val="18F81BBC"/>
    <w:rsid w:val="195552A1"/>
    <w:rsid w:val="1A4B328F"/>
    <w:rsid w:val="1C4D3F29"/>
    <w:rsid w:val="1D2F2510"/>
    <w:rsid w:val="1D715373"/>
    <w:rsid w:val="1F3B5EDA"/>
    <w:rsid w:val="204A7BD2"/>
    <w:rsid w:val="209E232C"/>
    <w:rsid w:val="21563810"/>
    <w:rsid w:val="21B365DF"/>
    <w:rsid w:val="221C4965"/>
    <w:rsid w:val="226D42E9"/>
    <w:rsid w:val="227C31AE"/>
    <w:rsid w:val="235F7D9C"/>
    <w:rsid w:val="24724726"/>
    <w:rsid w:val="247D056D"/>
    <w:rsid w:val="249F304C"/>
    <w:rsid w:val="251C1122"/>
    <w:rsid w:val="257003BB"/>
    <w:rsid w:val="25A467A2"/>
    <w:rsid w:val="271205F2"/>
    <w:rsid w:val="272C4AA3"/>
    <w:rsid w:val="27A77753"/>
    <w:rsid w:val="28AA52E5"/>
    <w:rsid w:val="297B77D1"/>
    <w:rsid w:val="2987351C"/>
    <w:rsid w:val="2A63541A"/>
    <w:rsid w:val="2B433544"/>
    <w:rsid w:val="2C747DE1"/>
    <w:rsid w:val="2C77194D"/>
    <w:rsid w:val="2E113603"/>
    <w:rsid w:val="311304AD"/>
    <w:rsid w:val="31241CA9"/>
    <w:rsid w:val="31C01992"/>
    <w:rsid w:val="326728A9"/>
    <w:rsid w:val="328647D8"/>
    <w:rsid w:val="32A978D5"/>
    <w:rsid w:val="32DE1F01"/>
    <w:rsid w:val="332C3A61"/>
    <w:rsid w:val="334415D0"/>
    <w:rsid w:val="3517312C"/>
    <w:rsid w:val="369457A6"/>
    <w:rsid w:val="37450649"/>
    <w:rsid w:val="37A677EF"/>
    <w:rsid w:val="390C0BC6"/>
    <w:rsid w:val="396A7390"/>
    <w:rsid w:val="3A6738F0"/>
    <w:rsid w:val="3AC70FF1"/>
    <w:rsid w:val="3C395B08"/>
    <w:rsid w:val="3CD573FA"/>
    <w:rsid w:val="3CF22895"/>
    <w:rsid w:val="3D457AAC"/>
    <w:rsid w:val="3DDD3D4B"/>
    <w:rsid w:val="3EA207AE"/>
    <w:rsid w:val="40FF2845"/>
    <w:rsid w:val="41431D68"/>
    <w:rsid w:val="41C22512"/>
    <w:rsid w:val="421D48AD"/>
    <w:rsid w:val="42333CFD"/>
    <w:rsid w:val="428D1AB5"/>
    <w:rsid w:val="42F20C34"/>
    <w:rsid w:val="43A04F1E"/>
    <w:rsid w:val="44826A28"/>
    <w:rsid w:val="44D31BBE"/>
    <w:rsid w:val="451E58FA"/>
    <w:rsid w:val="45285C2C"/>
    <w:rsid w:val="452C3265"/>
    <w:rsid w:val="45441531"/>
    <w:rsid w:val="456E1343"/>
    <w:rsid w:val="456F5BF8"/>
    <w:rsid w:val="47012B0C"/>
    <w:rsid w:val="47840855"/>
    <w:rsid w:val="48397527"/>
    <w:rsid w:val="4C5948D2"/>
    <w:rsid w:val="4CA666AA"/>
    <w:rsid w:val="4CB5079F"/>
    <w:rsid w:val="50543387"/>
    <w:rsid w:val="505F6B8F"/>
    <w:rsid w:val="52C453B1"/>
    <w:rsid w:val="53AB74E9"/>
    <w:rsid w:val="53CA04EA"/>
    <w:rsid w:val="54400E05"/>
    <w:rsid w:val="55BC6754"/>
    <w:rsid w:val="55DA21C1"/>
    <w:rsid w:val="56936B87"/>
    <w:rsid w:val="56C738D4"/>
    <w:rsid w:val="576E34B9"/>
    <w:rsid w:val="57D1645F"/>
    <w:rsid w:val="5A011018"/>
    <w:rsid w:val="5B1D7324"/>
    <w:rsid w:val="5CEB6A67"/>
    <w:rsid w:val="5D792F1B"/>
    <w:rsid w:val="5E456736"/>
    <w:rsid w:val="60293A07"/>
    <w:rsid w:val="617E5648"/>
    <w:rsid w:val="62246792"/>
    <w:rsid w:val="627B391D"/>
    <w:rsid w:val="642C2006"/>
    <w:rsid w:val="64BD7FEE"/>
    <w:rsid w:val="655C6DF6"/>
    <w:rsid w:val="660A60F8"/>
    <w:rsid w:val="667F6149"/>
    <w:rsid w:val="68913BCE"/>
    <w:rsid w:val="68B51559"/>
    <w:rsid w:val="6BBA39A5"/>
    <w:rsid w:val="6C370110"/>
    <w:rsid w:val="6CB30AE5"/>
    <w:rsid w:val="6DF664C6"/>
    <w:rsid w:val="6F354C0A"/>
    <w:rsid w:val="6F9F37F1"/>
    <w:rsid w:val="700D2FC1"/>
    <w:rsid w:val="71CD6C31"/>
    <w:rsid w:val="75571F96"/>
    <w:rsid w:val="78916ABF"/>
    <w:rsid w:val="7A585945"/>
    <w:rsid w:val="7AE34F97"/>
    <w:rsid w:val="7F4C7695"/>
    <w:rsid w:val="7F6B36BF"/>
    <w:rsid w:val="7F6B6712"/>
    <w:rsid w:val="7FD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  <w:style w:type="character" w:customStyle="1" w:styleId="9">
    <w:name w:val="space1"/>
    <w:qFormat/>
    <w:uiPriority w:val="0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30"/>
    <customShpInfo spid="_x0000_s103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DFJK</Company>
  <Pages>2</Pages>
  <Words>511</Words>
  <Characters>2918</Characters>
  <Lines>24</Lines>
  <Paragraphs>6</Paragraphs>
  <TotalTime>8</TotalTime>
  <ScaleCrop>false</ScaleCrop>
  <LinksUpToDate>false</LinksUpToDate>
  <CharactersWithSpaces>3423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2015-01-04T09:44:00Z</dcterms:created>
  <dc:creator>kell wu</dc:creator>
  <cp:lastModifiedBy>gczl</cp:lastModifiedBy>
  <cp:lastPrinted>2016-11-29T09:40:00Z</cp:lastPrinted>
  <dcterms:modified xsi:type="dcterms:W3CDTF">2019-06-06T08:29:17Z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